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9B7CB" w14:textId="08A82959" w:rsidR="00643B5F" w:rsidRDefault="00643B5F" w:rsidP="00643B5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AB2C43">
        <w:rPr>
          <w:rFonts w:ascii="Times New Roman" w:eastAsia="Times New Roman" w:hAnsi="Times New Roman" w:cs="Times New Roman"/>
          <w:b/>
          <w:caps/>
          <w:sz w:val="24"/>
          <w:szCs w:val="24"/>
        </w:rPr>
        <w:t>DOCKET No. 5019</w:t>
      </w:r>
      <w:r w:rsidR="002C68F8">
        <w:rPr>
          <w:rFonts w:ascii="Times New Roman" w:eastAsia="Times New Roman" w:hAnsi="Times New Roman" w:cs="Times New Roman"/>
          <w:b/>
          <w:caps/>
          <w:sz w:val="24"/>
          <w:szCs w:val="24"/>
        </w:rPr>
        <w:t>7</w:t>
      </w:r>
    </w:p>
    <w:p w14:paraId="6F6AEFFE" w14:textId="1222EF79" w:rsidR="00022CBE" w:rsidRDefault="00022CBE" w:rsidP="00022CBE">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473-21-2237.WS</w:t>
      </w:r>
    </w:p>
    <w:p w14:paraId="4D160C48" w14:textId="77777777" w:rsidR="00022CBE" w:rsidRPr="00AB2C43" w:rsidRDefault="00022CBE" w:rsidP="00022CBE">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022CBE" w:rsidRPr="00AB2C43" w14:paraId="5146FF65" w14:textId="77777777" w:rsidTr="008C14EE">
        <w:trPr>
          <w:trHeight w:val="981"/>
        </w:trPr>
        <w:tc>
          <w:tcPr>
            <w:tcW w:w="4788" w:type="dxa"/>
          </w:tcPr>
          <w:p w14:paraId="61E1F2CE" w14:textId="77777777" w:rsidR="00022CBE" w:rsidRPr="00AB2C43" w:rsidRDefault="00022CBE" w:rsidP="008C14EE">
            <w:pPr>
              <w:spacing w:after="0" w:line="240" w:lineRule="auto"/>
              <w:rPr>
                <w:rFonts w:ascii="Times New Roman" w:eastAsia="Times New Roman" w:hAnsi="Times New Roman" w:cs="Times New Roman"/>
                <w:b/>
                <w:bCs/>
                <w:sz w:val="24"/>
                <w:szCs w:val="20"/>
              </w:rPr>
            </w:pPr>
            <w:r w:rsidRPr="00AB2C43">
              <w:rPr>
                <w:rFonts w:ascii="Times New Roman" w:eastAsia="Times New Roman" w:hAnsi="Times New Roman" w:cs="Times New Roman"/>
                <w:b/>
                <w:bCs/>
                <w:sz w:val="24"/>
                <w:szCs w:val="20"/>
              </w:rPr>
              <w:t>APPLICATION OF TIMBERCREST PARTNERS LLC FOR AUTHORITY</w:t>
            </w:r>
          </w:p>
          <w:p w14:paraId="342CC212" w14:textId="77777777" w:rsidR="00022CBE" w:rsidRPr="00AB2C43" w:rsidRDefault="00022CBE" w:rsidP="008C14EE">
            <w:pPr>
              <w:spacing w:after="0" w:line="240" w:lineRule="auto"/>
              <w:rPr>
                <w:rFonts w:ascii="Times New Roman" w:eastAsia="Times New Roman" w:hAnsi="Times New Roman" w:cs="Times New Roman"/>
                <w:b/>
                <w:bCs/>
                <w:caps/>
                <w:sz w:val="24"/>
                <w:szCs w:val="24"/>
              </w:rPr>
            </w:pPr>
            <w:r w:rsidRPr="00AB2C43">
              <w:rPr>
                <w:rFonts w:ascii="Times New Roman" w:eastAsia="Times New Roman" w:hAnsi="Times New Roman" w:cs="Times New Roman"/>
                <w:b/>
                <w:bCs/>
                <w:sz w:val="24"/>
                <w:szCs w:val="20"/>
              </w:rPr>
              <w:t>TO CHANGE RATES</w:t>
            </w:r>
          </w:p>
        </w:tc>
        <w:tc>
          <w:tcPr>
            <w:tcW w:w="450" w:type="dxa"/>
          </w:tcPr>
          <w:p w14:paraId="341E0255" w14:textId="77777777" w:rsidR="00022CBE" w:rsidRPr="00AB2C43" w:rsidRDefault="00022CBE" w:rsidP="008C14EE">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7E4C4FE4" w14:textId="77777777" w:rsidR="00022CBE" w:rsidRPr="00AB2C43" w:rsidRDefault="00022CBE" w:rsidP="008C14EE">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50A1D5F0" w14:textId="77777777" w:rsidR="00022CBE" w:rsidRPr="00AB2C43" w:rsidRDefault="00022CBE" w:rsidP="008C14EE">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tc>
        <w:tc>
          <w:tcPr>
            <w:tcW w:w="4608" w:type="dxa"/>
          </w:tcPr>
          <w:p w14:paraId="4AC7D7C5" w14:textId="77777777" w:rsidR="00022CBE" w:rsidRDefault="009D23B7" w:rsidP="009D23B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 xml:space="preserve">PUBLIC UTILITY COMMISSION </w:t>
            </w:r>
          </w:p>
          <w:p w14:paraId="7048B667" w14:textId="77777777" w:rsidR="009D23B7" w:rsidRDefault="009D23B7" w:rsidP="009D23B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97965E6" w14:textId="1F424FAB" w:rsidR="009D23B7" w:rsidRPr="00AB2C43" w:rsidRDefault="009D23B7" w:rsidP="009D23B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OF TEXAS</w:t>
            </w:r>
          </w:p>
        </w:tc>
      </w:tr>
    </w:tbl>
    <w:p w14:paraId="2BC0B38A" w14:textId="77777777" w:rsidR="00022CBE" w:rsidRPr="00AB2C43" w:rsidRDefault="00022CBE" w:rsidP="00022CBE">
      <w:pPr>
        <w:spacing w:after="0" w:line="240" w:lineRule="auto"/>
        <w:jc w:val="center"/>
        <w:rPr>
          <w:rFonts w:ascii="Times New Roman" w:eastAsia="Times New Roman" w:hAnsi="Times New Roman" w:cs="Times New Roman"/>
          <w:b/>
          <w:bCs/>
          <w:caps/>
          <w:sz w:val="24"/>
          <w:szCs w:val="24"/>
        </w:rPr>
      </w:pPr>
    </w:p>
    <w:p w14:paraId="17C1A777" w14:textId="195B0FC1" w:rsidR="00022CBE" w:rsidRPr="009D23B7" w:rsidRDefault="00022CBE" w:rsidP="009D23B7">
      <w:pPr>
        <w:keepNext/>
        <w:spacing w:after="120" w:line="36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LIST OF ISSUES</w:t>
      </w:r>
    </w:p>
    <w:p w14:paraId="7B423F64" w14:textId="652BC712" w:rsidR="00022CBE" w:rsidRPr="00AB2C43" w:rsidRDefault="00022CBE" w:rsidP="009D23B7">
      <w:pPr>
        <w:keepNext/>
        <w:spacing w:after="0" w:line="360" w:lineRule="auto"/>
        <w:ind w:firstLine="720"/>
        <w:jc w:val="both"/>
        <w:outlineLvl w:val="3"/>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On January 17, 2020, Timbercrest Partners, LLC (Timbercrest) filed an application for authority to change its retail water and sewer rates under Texas Water Code (TWC) §§ 13.1871 and 13.1872(c)(2) and 16 Texas Administrative Code (TAC) §§ 24.25-44.</w:t>
      </w:r>
      <w:r w:rsidRPr="00AB2C43">
        <w:rPr>
          <w:rFonts w:ascii="Times New Roman" w:eastAsia="Times New Roman" w:hAnsi="Times New Roman" w:cs="Times New Roman"/>
          <w:sz w:val="24"/>
          <w:szCs w:val="24"/>
        </w:rPr>
        <w:t xml:space="preserve"> </w:t>
      </w:r>
    </w:p>
    <w:p w14:paraId="3786E440" w14:textId="4F73D3C2" w:rsidR="00022CBE" w:rsidRDefault="00022CBE" w:rsidP="009D23B7">
      <w:pPr>
        <w:keepNext/>
        <w:spacing w:after="0" w:line="360" w:lineRule="auto"/>
        <w:ind w:firstLine="720"/>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w:t>
      </w:r>
      <w:r w:rsidR="00643B5F">
        <w:rPr>
          <w:rFonts w:ascii="Times New Roman" w:eastAsia="Times New Roman" w:hAnsi="Times New Roman" w:cs="Times New Roman"/>
          <w:sz w:val="24"/>
          <w:szCs w:val="24"/>
        </w:rPr>
        <w:t>May</w:t>
      </w:r>
      <w:r>
        <w:rPr>
          <w:rFonts w:ascii="Times New Roman" w:eastAsia="Times New Roman" w:hAnsi="Times New Roman" w:cs="Times New Roman"/>
          <w:sz w:val="24"/>
          <w:szCs w:val="24"/>
        </w:rPr>
        <w:t xml:space="preserve"> </w:t>
      </w:r>
      <w:r w:rsidR="00643B5F">
        <w:rPr>
          <w:rFonts w:ascii="Times New Roman" w:eastAsia="Times New Roman" w:hAnsi="Times New Roman" w:cs="Times New Roman"/>
          <w:sz w:val="24"/>
          <w:szCs w:val="24"/>
        </w:rPr>
        <w:t>4</w:t>
      </w:r>
      <w:r>
        <w:rPr>
          <w:rFonts w:ascii="Times New Roman" w:eastAsia="Times New Roman" w:hAnsi="Times New Roman" w:cs="Times New Roman"/>
          <w:sz w:val="24"/>
          <w:szCs w:val="24"/>
        </w:rPr>
        <w:t>, 202</w:t>
      </w:r>
      <w:r w:rsidR="009D23B7">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643B5F">
        <w:rPr>
          <w:rFonts w:ascii="Times New Roman" w:eastAsia="Times New Roman" w:hAnsi="Times New Roman" w:cs="Times New Roman"/>
          <w:sz w:val="24"/>
          <w:szCs w:val="24"/>
        </w:rPr>
        <w:t xml:space="preserve">an Order of Referral was </w:t>
      </w:r>
      <w:r w:rsidR="009D23B7">
        <w:rPr>
          <w:rFonts w:ascii="Times New Roman" w:eastAsia="Times New Roman" w:hAnsi="Times New Roman" w:cs="Times New Roman"/>
          <w:sz w:val="24"/>
          <w:szCs w:val="24"/>
        </w:rPr>
        <w:t>fil</w:t>
      </w:r>
      <w:r w:rsidR="00643B5F">
        <w:rPr>
          <w:rFonts w:ascii="Times New Roman" w:eastAsia="Times New Roman" w:hAnsi="Times New Roman" w:cs="Times New Roman"/>
          <w:sz w:val="24"/>
          <w:szCs w:val="24"/>
        </w:rPr>
        <w:t xml:space="preserve">ed allowing the Staff of the Public Utility Commission of Texas (Staff) to file a list of issues to be addressed in the docket by May 14, 2021. Therefore, this pleading is timely filed. </w:t>
      </w:r>
    </w:p>
    <w:p w14:paraId="4D2FD684" w14:textId="77777777" w:rsidR="009D23B7" w:rsidRDefault="009D23B7" w:rsidP="009D23B7">
      <w:pPr>
        <w:keepNext/>
        <w:spacing w:after="0" w:line="360" w:lineRule="auto"/>
        <w:ind w:firstLine="720"/>
        <w:jc w:val="both"/>
        <w:outlineLvl w:val="3"/>
        <w:rPr>
          <w:rFonts w:ascii="Times New Roman" w:eastAsia="Times New Roman" w:hAnsi="Times New Roman" w:cs="Times New Roman"/>
          <w:sz w:val="24"/>
          <w:szCs w:val="24"/>
        </w:rPr>
      </w:pPr>
    </w:p>
    <w:p w14:paraId="2FDC1E72" w14:textId="77777777" w:rsidR="00335CDE" w:rsidRPr="00183F2F" w:rsidRDefault="00335CDE" w:rsidP="009D23B7">
      <w:pPr>
        <w:pStyle w:val="ListParagraph"/>
        <w:numPr>
          <w:ilvl w:val="0"/>
          <w:numId w:val="3"/>
        </w:numPr>
        <w:spacing w:line="360" w:lineRule="auto"/>
        <w:ind w:left="720"/>
        <w:jc w:val="center"/>
        <w:rPr>
          <w:b/>
          <w:bCs/>
          <w:sz w:val="24"/>
          <w:szCs w:val="24"/>
        </w:rPr>
      </w:pPr>
      <w:bookmarkStart w:id="0" w:name="_Hlk36038836"/>
      <w:r w:rsidRPr="002C6289">
        <w:rPr>
          <w:b/>
          <w:bCs/>
          <w:sz w:val="24"/>
          <w:szCs w:val="24"/>
        </w:rPr>
        <w:t>PROPOSED LIST OF ISSUES</w:t>
      </w:r>
    </w:p>
    <w:bookmarkEnd w:id="0"/>
    <w:p w14:paraId="69C7717B" w14:textId="23597824" w:rsidR="009D23B7" w:rsidRDefault="00335CDE" w:rsidP="009D23B7">
      <w:pPr>
        <w:spacing w:after="0" w:line="360" w:lineRule="auto"/>
        <w:ind w:firstLine="720"/>
        <w:jc w:val="both"/>
        <w:rPr>
          <w:rFonts w:ascii="Times New Roman" w:hAnsi="Times New Roman" w:cs="Times New Roman"/>
          <w:sz w:val="24"/>
          <w:szCs w:val="24"/>
        </w:rPr>
      </w:pPr>
      <w:r w:rsidRPr="00335CDE">
        <w:rPr>
          <w:rFonts w:ascii="Times New Roman" w:hAnsi="Times New Roman" w:cs="Times New Roman"/>
          <w:sz w:val="24"/>
          <w:szCs w:val="24"/>
        </w:rPr>
        <w:t>Staff has identified the following issues to be addressed in this docket:</w:t>
      </w:r>
    </w:p>
    <w:p w14:paraId="3E004BC2" w14:textId="12042CEE" w:rsidR="00335CDE" w:rsidRPr="00335CDE" w:rsidRDefault="00335CDE" w:rsidP="009D23B7">
      <w:pPr>
        <w:spacing w:after="0" w:line="360" w:lineRule="auto"/>
        <w:jc w:val="both"/>
        <w:rPr>
          <w:rFonts w:ascii="Times New Roman" w:hAnsi="Times New Roman" w:cs="Times New Roman"/>
          <w:b/>
          <w:bCs/>
          <w:i/>
          <w:iCs/>
          <w:sz w:val="24"/>
          <w:szCs w:val="24"/>
          <w:u w:val="single"/>
        </w:rPr>
      </w:pPr>
      <w:r w:rsidRPr="00335CDE">
        <w:rPr>
          <w:rFonts w:ascii="Times New Roman" w:hAnsi="Times New Roman" w:cs="Times New Roman"/>
          <w:b/>
          <w:bCs/>
          <w:i/>
          <w:iCs/>
          <w:sz w:val="24"/>
          <w:szCs w:val="24"/>
          <w:u w:val="single"/>
        </w:rPr>
        <w:t>Identification</w:t>
      </w:r>
    </w:p>
    <w:p w14:paraId="72FD914C" w14:textId="01D77755" w:rsidR="00335CDE" w:rsidRDefault="00335CDE" w:rsidP="009D23B7">
      <w:pPr>
        <w:pStyle w:val="IssueList"/>
        <w:spacing w:before="0"/>
      </w:pPr>
      <w:bookmarkStart w:id="1" w:name="_Hlk36038783"/>
      <w:r>
        <w:t>What is the legal name and all assumed names, if any, of the utility seeking a rate change? If the utility uses an assumed name, does it have a currently valid certificate for its assumed names?</w:t>
      </w:r>
    </w:p>
    <w:p w14:paraId="5F33273B" w14:textId="5B77BFD1" w:rsidR="00335CDE" w:rsidRDefault="00335CDE" w:rsidP="009D23B7">
      <w:pPr>
        <w:pStyle w:val="IssueList"/>
        <w:spacing w:before="0" w:after="120"/>
      </w:pPr>
      <w:r>
        <w:t>What is the utility’s business form (e.g., corporation, partnership, sole proprietorship)? What is the charter or authorization number, the date the business was formed, and the dates any changes were made?</w:t>
      </w:r>
    </w:p>
    <w:p w14:paraId="1C06A8D8" w14:textId="687F6F23" w:rsidR="00335CDE" w:rsidRPr="00335CDE" w:rsidRDefault="00335CDE" w:rsidP="009D23B7">
      <w:pPr>
        <w:pStyle w:val="IssueList"/>
        <w:numPr>
          <w:ilvl w:val="0"/>
          <w:numId w:val="0"/>
        </w:numPr>
        <w:spacing w:before="0"/>
        <w:rPr>
          <w:b/>
          <w:bCs/>
          <w:i/>
          <w:iCs/>
          <w:u w:val="single"/>
        </w:rPr>
      </w:pPr>
      <w:r w:rsidRPr="00335CDE">
        <w:rPr>
          <w:b/>
          <w:bCs/>
          <w:i/>
          <w:iCs/>
          <w:u w:val="single"/>
        </w:rPr>
        <w:t>Notice</w:t>
      </w:r>
    </w:p>
    <w:p w14:paraId="4A71D611" w14:textId="43B8192D" w:rsidR="00335CDE" w:rsidRDefault="00335CDE" w:rsidP="009D23B7">
      <w:pPr>
        <w:pStyle w:val="IssueList"/>
        <w:spacing w:before="0" w:after="100" w:afterAutospacing="1"/>
      </w:pPr>
      <w:r>
        <w:t>Did the utility provide notice of the proposed rate change that complies with the applicable statutes and rules? TWC § 13.1871(b), (c); 16 TAC § 24.27; Notice of proposed rate change form for class B and C utilities.</w:t>
      </w:r>
    </w:p>
    <w:p w14:paraId="08AAA326" w14:textId="71F4572E" w:rsidR="00335CDE" w:rsidRPr="00335CDE" w:rsidRDefault="00335CDE" w:rsidP="009D23B7">
      <w:pPr>
        <w:pStyle w:val="IssueList"/>
        <w:numPr>
          <w:ilvl w:val="0"/>
          <w:numId w:val="0"/>
        </w:numPr>
        <w:spacing w:before="0"/>
        <w:rPr>
          <w:b/>
          <w:bCs/>
          <w:i/>
          <w:iCs/>
          <w:u w:val="single"/>
        </w:rPr>
      </w:pPr>
      <w:r w:rsidRPr="00335CDE">
        <w:rPr>
          <w:b/>
          <w:bCs/>
          <w:i/>
          <w:iCs/>
          <w:u w:val="single"/>
        </w:rPr>
        <w:t xml:space="preserve">Revenue Requirement </w:t>
      </w:r>
    </w:p>
    <w:p w14:paraId="50322FF0" w14:textId="31065516" w:rsidR="00335CDE" w:rsidRDefault="00E92FAB" w:rsidP="009D23B7">
      <w:pPr>
        <w:pStyle w:val="IssueList"/>
        <w:spacing w:before="0"/>
      </w:pPr>
      <w:r>
        <w:t xml:space="preserve">What revenue requirement will give the utility a reasonable opportunity to earn a reasonable return on its invested capital used and useful in providing service to the public in excess of its </w:t>
      </w:r>
      <w:r>
        <w:lastRenderedPageBreak/>
        <w:t xml:space="preserve">reasonable and necessary operating expenses? TWC § 13.183(a)(1); 16 TAC § 24.43(a); Class C rate-filing-package form (form) section I. </w:t>
      </w:r>
    </w:p>
    <w:p w14:paraId="5AFAF260" w14:textId="5131515A" w:rsidR="00E92FAB" w:rsidRDefault="00E92FAB" w:rsidP="009D23B7">
      <w:pPr>
        <w:pStyle w:val="IssueList"/>
        <w:spacing w:before="0" w:after="100" w:afterAutospacing="1"/>
      </w:pPr>
      <w:r>
        <w:t>Will the revenue requirement preserve the utility’s financial integrity? If not, what revenue requirement is required to do so? TWC § 13.183(a)(2); 16 TAC § 24.43(a).</w:t>
      </w:r>
    </w:p>
    <w:p w14:paraId="6C0ACAA6" w14:textId="73D2C6C2" w:rsidR="00E92FAB" w:rsidRPr="00E92FAB" w:rsidRDefault="00E92FAB" w:rsidP="009D23B7">
      <w:pPr>
        <w:pStyle w:val="IssueList"/>
        <w:numPr>
          <w:ilvl w:val="0"/>
          <w:numId w:val="0"/>
        </w:numPr>
        <w:spacing w:before="0"/>
        <w:rPr>
          <w:b/>
          <w:bCs/>
          <w:i/>
          <w:iCs/>
          <w:u w:val="single"/>
        </w:rPr>
      </w:pPr>
      <w:r w:rsidRPr="00E92FAB">
        <w:rPr>
          <w:b/>
          <w:bCs/>
          <w:i/>
          <w:iCs/>
          <w:u w:val="single"/>
        </w:rPr>
        <w:t>Allowable expenses</w:t>
      </w:r>
    </w:p>
    <w:p w14:paraId="5EEAC507" w14:textId="4C424A4C" w:rsidR="00E92FAB" w:rsidRDefault="00E92FAB" w:rsidP="009D23B7">
      <w:pPr>
        <w:pStyle w:val="IssueList"/>
        <w:spacing w:before="0" w:after="100" w:afterAutospacing="1"/>
      </w:pPr>
      <w:r>
        <w:t>What are the utility’s allowable expenses calculated in accordance with the applicable statutes, Commission rules, and form? TWC §§ 13.183(a)(1), 13.185; 16 TAC § 24.41(b); Form sections II, IV, and V.</w:t>
      </w:r>
    </w:p>
    <w:p w14:paraId="26293328" w14:textId="7F5A8CCF" w:rsidR="00E92FAB" w:rsidRPr="00E92FAB" w:rsidRDefault="00E92FAB" w:rsidP="009D23B7">
      <w:pPr>
        <w:pStyle w:val="IssueList"/>
        <w:numPr>
          <w:ilvl w:val="0"/>
          <w:numId w:val="0"/>
        </w:numPr>
        <w:spacing w:before="0"/>
        <w:rPr>
          <w:b/>
          <w:bCs/>
          <w:i/>
          <w:iCs/>
          <w:u w:val="single"/>
        </w:rPr>
      </w:pPr>
      <w:r w:rsidRPr="00E92FAB">
        <w:rPr>
          <w:b/>
          <w:bCs/>
          <w:i/>
          <w:iCs/>
          <w:u w:val="single"/>
        </w:rPr>
        <w:t>Rate base</w:t>
      </w:r>
    </w:p>
    <w:p w14:paraId="21D67854" w14:textId="11E3EA00" w:rsidR="00E92FAB" w:rsidRDefault="00E92FAB" w:rsidP="009D23B7">
      <w:pPr>
        <w:pStyle w:val="IssueList"/>
        <w:spacing w:before="0"/>
      </w:pPr>
      <w:r>
        <w:t>What is the appropriate rate of return on the utility’s rate base? TWC §</w:t>
      </w:r>
      <w:r w:rsidR="00174B6D">
        <w:t>§</w:t>
      </w:r>
      <w:r>
        <w:t xml:space="preserve"> 13.183(a)(1)</w:t>
      </w:r>
      <w:r w:rsidR="00174B6D">
        <w:t>, 13.184(a), (b), 13.185(a) through (e), (i)</w:t>
      </w:r>
      <w:r>
        <w:t>; 16 TAC § 24.4</w:t>
      </w:r>
      <w:r w:rsidR="00174B6D">
        <w:t>1</w:t>
      </w:r>
      <w:r>
        <w:t>(</w:t>
      </w:r>
      <w:r w:rsidR="00174B6D">
        <w:t>c</w:t>
      </w:r>
      <w:r>
        <w:t>)</w:t>
      </w:r>
      <w:r w:rsidR="00174B6D">
        <w:t xml:space="preserve"> through (g); Form section III.</w:t>
      </w:r>
    </w:p>
    <w:p w14:paraId="6F94BF37" w14:textId="0088785E" w:rsidR="00174B6D" w:rsidRDefault="00174B6D" w:rsidP="009D23B7">
      <w:pPr>
        <w:pStyle w:val="IssueList"/>
        <w:spacing w:before="0" w:after="100" w:afterAutospacing="1"/>
      </w:pPr>
      <w:r>
        <w:t>Did the utility properly account for accumulated depreciation and for developer or customer contributions</w:t>
      </w:r>
      <w:r w:rsidR="00BE2AAF">
        <w:t>?</w:t>
      </w:r>
      <w:r>
        <w:t xml:space="preserve"> TWC §§ 13.183(b), 13.185(b), (i), (j); 16 TAC § 24.41(</w:t>
      </w:r>
      <w:r w:rsidR="00BE2AAF">
        <w:t>c</w:t>
      </w:r>
      <w:r>
        <w:t>)</w:t>
      </w:r>
      <w:r w:rsidR="00BE2AAF">
        <w:t xml:space="preserve">(2), (c)(3)(D). </w:t>
      </w:r>
    </w:p>
    <w:p w14:paraId="0E7E636D" w14:textId="53730D6F" w:rsidR="00BE2AAF" w:rsidRPr="00BE2AAF" w:rsidRDefault="00BE2AAF" w:rsidP="009D23B7">
      <w:pPr>
        <w:pStyle w:val="IssueList"/>
        <w:numPr>
          <w:ilvl w:val="0"/>
          <w:numId w:val="0"/>
        </w:numPr>
        <w:spacing w:before="0"/>
        <w:rPr>
          <w:b/>
          <w:bCs/>
          <w:i/>
          <w:iCs/>
          <w:u w:val="single"/>
        </w:rPr>
      </w:pPr>
      <w:r w:rsidRPr="00BE2AAF">
        <w:rPr>
          <w:b/>
          <w:bCs/>
          <w:i/>
          <w:iCs/>
          <w:u w:val="single"/>
        </w:rPr>
        <w:t>Affiliates</w:t>
      </w:r>
    </w:p>
    <w:p w14:paraId="27129E2F" w14:textId="5B241660" w:rsidR="00BE2AAF" w:rsidRDefault="00BE2AAF" w:rsidP="009D23B7">
      <w:pPr>
        <w:pStyle w:val="IssueList"/>
        <w:spacing w:before="0" w:after="100" w:afterAutospacing="1"/>
      </w:pPr>
      <w:r>
        <w:t>Does the utility have any affiliates? TWC § 13.002(2); 16 TAC § 24.3(3). If so, has the utility included in allowable expenses or in rate base any payments to affiliates? Are the payments reasonable and necessary? Were affiliate costs properly assigned to the utility? What are the costs to the affiliate of each item or class of items in question, and is the price to the utility no higher than prices charged by the supplying affiliate to its other affiliates or divisions or to unaffiliated persons or corporations for the same item or items? TWC § 13.185(e); Form at page 3.</w:t>
      </w:r>
    </w:p>
    <w:p w14:paraId="127B4522" w14:textId="7996D67C" w:rsidR="00BE2AAF" w:rsidRPr="00BE2AAF" w:rsidRDefault="00BE2AAF" w:rsidP="009D23B7">
      <w:pPr>
        <w:pStyle w:val="IssueList"/>
        <w:numPr>
          <w:ilvl w:val="0"/>
          <w:numId w:val="0"/>
        </w:numPr>
        <w:spacing w:before="0"/>
        <w:rPr>
          <w:b/>
          <w:bCs/>
          <w:i/>
          <w:iCs/>
          <w:u w:val="single"/>
        </w:rPr>
      </w:pPr>
      <w:r w:rsidRPr="00BE2AAF">
        <w:rPr>
          <w:b/>
          <w:bCs/>
          <w:i/>
          <w:iCs/>
          <w:u w:val="single"/>
        </w:rPr>
        <w:t>Rates</w:t>
      </w:r>
    </w:p>
    <w:p w14:paraId="54DA528F" w14:textId="298F9929" w:rsidR="00BE2AAF" w:rsidRDefault="00BE2AAF" w:rsidP="009D23B7">
      <w:pPr>
        <w:pStyle w:val="IssueList"/>
        <w:spacing w:before="0"/>
      </w:pPr>
      <w:r>
        <w:t>Do the proposed rates properly reflect the utility</w:t>
      </w:r>
      <w:r w:rsidR="009D23B7">
        <w:t>’</w:t>
      </w:r>
      <w:r>
        <w:t>s fixed and variable costs and allocate responsibilities appropriately? Form section VI.</w:t>
      </w:r>
    </w:p>
    <w:p w14:paraId="7FC8D18A" w14:textId="2595DE3A" w:rsidR="00BE2AAF" w:rsidRDefault="00BE2AAF" w:rsidP="009D23B7">
      <w:pPr>
        <w:pStyle w:val="IssueList"/>
        <w:spacing w:before="0"/>
      </w:pPr>
      <w:r>
        <w:t>Did the utility use the appropriate number of connections in designing rates?</w:t>
      </w:r>
    </w:p>
    <w:p w14:paraId="017B24DA" w14:textId="04F39204" w:rsidR="00BE2AAF" w:rsidRDefault="00BE2AAF" w:rsidP="009D23B7">
      <w:pPr>
        <w:pStyle w:val="IssueList"/>
        <w:spacing w:before="0"/>
      </w:pPr>
      <w:r>
        <w:t>Do the proposed rates recover the utility</w:t>
      </w:r>
      <w:r w:rsidR="009D23B7">
        <w:t>’</w:t>
      </w:r>
      <w:r>
        <w:t>s revenue requirement?</w:t>
      </w:r>
    </w:p>
    <w:p w14:paraId="33528DB1" w14:textId="4AF3A158" w:rsidR="00BE2AAF" w:rsidRDefault="00BE2AAF" w:rsidP="009D23B7">
      <w:pPr>
        <w:pStyle w:val="IssueList"/>
        <w:spacing w:before="0"/>
      </w:pPr>
      <w:r>
        <w:t>Are the proposed rates just and reasonable, and do they meet all other legal requirements? TWC § 13.182(a), (b).</w:t>
      </w:r>
    </w:p>
    <w:p w14:paraId="7F818142" w14:textId="71BEB60A" w:rsidR="00BE2AAF" w:rsidRDefault="00BE2AAF" w:rsidP="009D23B7">
      <w:pPr>
        <w:pStyle w:val="IssueList"/>
        <w:spacing w:before="0" w:after="100" w:afterAutospacing="1"/>
      </w:pPr>
      <w:r>
        <w:lastRenderedPageBreak/>
        <w:t>What is the appropriate effective date of the rates fixed by the Commission in this proceeding? TWC § 13.1871(b), (e) through (h); 16 TAC §§ 24.25(h), 24.33.</w:t>
      </w:r>
    </w:p>
    <w:p w14:paraId="3C5A931F" w14:textId="6D60065A" w:rsidR="00BE2AAF" w:rsidRPr="00BE2AAF" w:rsidRDefault="00BE2AAF" w:rsidP="009D23B7">
      <w:pPr>
        <w:pStyle w:val="IssueList"/>
        <w:numPr>
          <w:ilvl w:val="0"/>
          <w:numId w:val="0"/>
        </w:numPr>
        <w:spacing w:before="0"/>
        <w:rPr>
          <w:b/>
          <w:bCs/>
          <w:i/>
          <w:iCs/>
          <w:u w:val="single"/>
        </w:rPr>
      </w:pPr>
      <w:r w:rsidRPr="00BE2AAF">
        <w:rPr>
          <w:b/>
          <w:bCs/>
          <w:i/>
          <w:iCs/>
          <w:u w:val="single"/>
        </w:rPr>
        <w:t>Tariff</w:t>
      </w:r>
    </w:p>
    <w:p w14:paraId="7803F491" w14:textId="0F3547F2" w:rsidR="00BE2AAF" w:rsidRDefault="00BE2AAF" w:rsidP="009D23B7">
      <w:pPr>
        <w:pStyle w:val="IssueList"/>
        <w:spacing w:before="0" w:after="100" w:afterAutospacing="1"/>
      </w:pPr>
      <w:r>
        <w:t>Are the utility</w:t>
      </w:r>
      <w:r w:rsidR="009D23B7">
        <w:t>’</w:t>
      </w:r>
      <w:r>
        <w:t>s proposed revisions to its tariffs and rate schedules appropriate?</w:t>
      </w:r>
    </w:p>
    <w:p w14:paraId="165908D0" w14:textId="545EE425" w:rsidR="00BE2AAF" w:rsidRPr="00BE2AAF" w:rsidRDefault="00BE2AAF" w:rsidP="009D23B7">
      <w:pPr>
        <w:pStyle w:val="IssueList"/>
        <w:numPr>
          <w:ilvl w:val="0"/>
          <w:numId w:val="0"/>
        </w:numPr>
        <w:spacing w:before="0"/>
        <w:rPr>
          <w:b/>
          <w:bCs/>
          <w:i/>
          <w:iCs/>
          <w:u w:val="single"/>
        </w:rPr>
      </w:pPr>
      <w:r w:rsidRPr="00BE2AAF">
        <w:rPr>
          <w:b/>
          <w:bCs/>
          <w:i/>
          <w:iCs/>
          <w:u w:val="single"/>
        </w:rPr>
        <w:t>Refund or Surcharge</w:t>
      </w:r>
    </w:p>
    <w:p w14:paraId="26552E7D" w14:textId="6355B830" w:rsidR="00BE2AAF" w:rsidRPr="001429B6" w:rsidRDefault="00BE2AAF" w:rsidP="009D23B7">
      <w:pPr>
        <w:pStyle w:val="IssueList"/>
        <w:spacing w:before="0" w:after="100" w:afterAutospacing="1"/>
      </w:pPr>
      <w:r>
        <w:t>If a refund or surcharge results from this proceeding, how and over what period of time should the refund or surcharge be made? TWC § 13.1871(u); 16 TAC § 24.35(e).</w:t>
      </w:r>
    </w:p>
    <w:p w14:paraId="0319C129" w14:textId="21287585" w:rsidR="00335CDE" w:rsidRPr="00335CDE" w:rsidRDefault="00335CDE" w:rsidP="009D23B7">
      <w:pPr>
        <w:pStyle w:val="IssueList"/>
        <w:numPr>
          <w:ilvl w:val="0"/>
          <w:numId w:val="0"/>
        </w:numPr>
        <w:spacing w:before="0"/>
        <w:rPr>
          <w:b/>
          <w:bCs/>
          <w:i/>
          <w:iCs/>
          <w:u w:val="single"/>
        </w:rPr>
      </w:pPr>
      <w:r w:rsidRPr="00335CDE">
        <w:rPr>
          <w:b/>
          <w:bCs/>
          <w:i/>
          <w:iCs/>
          <w:u w:val="single"/>
        </w:rPr>
        <w:t>Rate-case expenses</w:t>
      </w:r>
    </w:p>
    <w:p w14:paraId="3D2E3A75" w14:textId="0AF9C064" w:rsidR="00335CDE" w:rsidRDefault="00335CDE" w:rsidP="009D23B7">
      <w:pPr>
        <w:pStyle w:val="IssueList"/>
        <w:spacing w:before="0"/>
        <w:rPr>
          <w:b/>
          <w:bCs/>
          <w:szCs w:val="24"/>
        </w:rPr>
      </w:pPr>
      <w:r>
        <w:t>What are the utility’s expenses incurred in this rate proceeding that are just, reasonable, necessary, and in the public interest? Does that amount include any prospective rate-case expenses to be incurred after the Commission’s final order?  Should the utility be able to recover its reasonable and necessary rate-case expenses from ratepayers?  If so, how should such expenses, if any, be recovered by the utility? 16 TAC § 24.44</w:t>
      </w:r>
    </w:p>
    <w:p w14:paraId="2A5676C6" w14:textId="77777777" w:rsidR="00335CDE" w:rsidRPr="00335CDE" w:rsidRDefault="00335CDE" w:rsidP="009D23B7">
      <w:pPr>
        <w:pStyle w:val="IssueList"/>
        <w:numPr>
          <w:ilvl w:val="0"/>
          <w:numId w:val="0"/>
        </w:numPr>
        <w:spacing w:before="0"/>
        <w:ind w:left="360"/>
        <w:rPr>
          <w:b/>
          <w:bCs/>
          <w:szCs w:val="24"/>
        </w:rPr>
      </w:pPr>
    </w:p>
    <w:p w14:paraId="2E210465" w14:textId="77777777" w:rsidR="00335CDE" w:rsidRPr="002C6289" w:rsidRDefault="00335CDE" w:rsidP="009D23B7">
      <w:pPr>
        <w:pStyle w:val="ListParagraph"/>
        <w:numPr>
          <w:ilvl w:val="0"/>
          <w:numId w:val="3"/>
        </w:numPr>
        <w:overflowPunct/>
        <w:autoSpaceDE/>
        <w:autoSpaceDN/>
        <w:adjustRightInd/>
        <w:spacing w:line="360" w:lineRule="auto"/>
        <w:jc w:val="center"/>
        <w:textAlignment w:val="auto"/>
        <w:rPr>
          <w:b/>
          <w:caps/>
          <w:sz w:val="24"/>
          <w:szCs w:val="24"/>
        </w:rPr>
      </w:pPr>
      <w:r w:rsidRPr="009734A3">
        <w:rPr>
          <w:b/>
          <w:caps/>
          <w:sz w:val="24"/>
          <w:szCs w:val="24"/>
        </w:rPr>
        <w:t>ISSUES NOT TO BE ADDRESSED</w:t>
      </w:r>
    </w:p>
    <w:p w14:paraId="2BFC0C77" w14:textId="55781A15" w:rsidR="00335CDE" w:rsidRDefault="00335CDE" w:rsidP="009D23B7">
      <w:pPr>
        <w:spacing w:after="0" w:line="360" w:lineRule="auto"/>
        <w:ind w:firstLine="720"/>
        <w:jc w:val="both"/>
        <w:rPr>
          <w:rFonts w:ascii="Times New Roman" w:hAnsi="Times New Roman" w:cs="Times New Roman"/>
          <w:sz w:val="24"/>
          <w:szCs w:val="24"/>
        </w:rPr>
      </w:pPr>
      <w:r w:rsidRPr="00335CDE">
        <w:rPr>
          <w:rFonts w:ascii="Times New Roman" w:hAnsi="Times New Roman" w:cs="Times New Roman"/>
          <w:sz w:val="24"/>
          <w:szCs w:val="24"/>
        </w:rPr>
        <w:t>Staff has not identified any issues not to be addressed in this proceeding.</w:t>
      </w:r>
    </w:p>
    <w:p w14:paraId="7B8D6F97" w14:textId="77777777" w:rsidR="009D23B7" w:rsidRPr="00335CDE" w:rsidRDefault="009D23B7" w:rsidP="009D23B7">
      <w:pPr>
        <w:spacing w:after="0" w:line="360" w:lineRule="auto"/>
        <w:ind w:firstLine="720"/>
        <w:jc w:val="both"/>
        <w:rPr>
          <w:rFonts w:ascii="Times New Roman" w:hAnsi="Times New Roman" w:cs="Times New Roman"/>
          <w:sz w:val="24"/>
          <w:szCs w:val="24"/>
        </w:rPr>
      </w:pPr>
    </w:p>
    <w:bookmarkEnd w:id="1"/>
    <w:p w14:paraId="7F76F2A4" w14:textId="77777777" w:rsidR="00335CDE" w:rsidRPr="00D67F20" w:rsidRDefault="00335CDE" w:rsidP="009D23B7">
      <w:pPr>
        <w:pStyle w:val="ListParagraph"/>
        <w:numPr>
          <w:ilvl w:val="0"/>
          <w:numId w:val="3"/>
        </w:numPr>
        <w:spacing w:line="360" w:lineRule="auto"/>
        <w:jc w:val="center"/>
        <w:rPr>
          <w:b/>
          <w:bCs/>
          <w:sz w:val="24"/>
          <w:szCs w:val="24"/>
        </w:rPr>
      </w:pPr>
      <w:r w:rsidRPr="00D67F20">
        <w:rPr>
          <w:b/>
          <w:bCs/>
          <w:sz w:val="24"/>
          <w:szCs w:val="24"/>
        </w:rPr>
        <w:t>CONCLUSION</w:t>
      </w:r>
    </w:p>
    <w:p w14:paraId="11476D60" w14:textId="77777777" w:rsidR="00335CDE" w:rsidRPr="00335CDE" w:rsidRDefault="00335CDE" w:rsidP="009D23B7">
      <w:pPr>
        <w:spacing w:after="0" w:line="360" w:lineRule="auto"/>
        <w:ind w:firstLine="720"/>
        <w:jc w:val="both"/>
        <w:rPr>
          <w:rFonts w:ascii="Times New Roman" w:hAnsi="Times New Roman" w:cs="Times New Roman"/>
          <w:sz w:val="24"/>
          <w:szCs w:val="24"/>
        </w:rPr>
      </w:pPr>
      <w:r w:rsidRPr="00335CDE">
        <w:rPr>
          <w:rFonts w:ascii="Times New Roman" w:hAnsi="Times New Roman" w:cs="Times New Roman"/>
          <w:sz w:val="24"/>
          <w:szCs w:val="24"/>
        </w:rPr>
        <w:t>Staff respectfully requests that its list of issues be among the issues considered by the Commission in this proceeding.</w:t>
      </w:r>
    </w:p>
    <w:p w14:paraId="7B9042F4" w14:textId="77777777" w:rsidR="00033F7E" w:rsidRDefault="00033F7E" w:rsidP="00033F7E">
      <w:pPr>
        <w:spacing w:after="0" w:line="360" w:lineRule="auto"/>
        <w:jc w:val="both"/>
        <w:rPr>
          <w:rFonts w:ascii="Times New Roman" w:eastAsia="Times New Roman" w:hAnsi="Times New Roman" w:cs="Times New Roman"/>
          <w:sz w:val="24"/>
          <w:szCs w:val="20"/>
        </w:rPr>
      </w:pPr>
    </w:p>
    <w:p w14:paraId="29284B51" w14:textId="77777777" w:rsidR="009D23B7" w:rsidRDefault="009D23B7" w:rsidP="00033F7E">
      <w:pPr>
        <w:spacing w:after="0" w:line="360" w:lineRule="auto"/>
        <w:jc w:val="both"/>
        <w:rPr>
          <w:rFonts w:ascii="Times New Roman" w:eastAsia="Times New Roman" w:hAnsi="Times New Roman" w:cs="Times New Roman"/>
          <w:sz w:val="24"/>
          <w:szCs w:val="20"/>
        </w:rPr>
      </w:pPr>
    </w:p>
    <w:p w14:paraId="2BEC0333" w14:textId="77777777" w:rsidR="009D23B7" w:rsidRDefault="009D23B7" w:rsidP="00033F7E">
      <w:pPr>
        <w:spacing w:after="0" w:line="360" w:lineRule="auto"/>
        <w:jc w:val="both"/>
        <w:rPr>
          <w:rFonts w:ascii="Times New Roman" w:eastAsia="Times New Roman" w:hAnsi="Times New Roman" w:cs="Times New Roman"/>
          <w:sz w:val="24"/>
          <w:szCs w:val="20"/>
        </w:rPr>
      </w:pPr>
    </w:p>
    <w:p w14:paraId="6FA71848" w14:textId="77777777" w:rsidR="009D23B7" w:rsidRDefault="009D23B7" w:rsidP="00033F7E">
      <w:pPr>
        <w:spacing w:after="0" w:line="360" w:lineRule="auto"/>
        <w:jc w:val="both"/>
        <w:rPr>
          <w:rFonts w:ascii="Times New Roman" w:eastAsia="Times New Roman" w:hAnsi="Times New Roman" w:cs="Times New Roman"/>
          <w:sz w:val="24"/>
          <w:szCs w:val="20"/>
        </w:rPr>
      </w:pPr>
    </w:p>
    <w:p w14:paraId="66439C2B" w14:textId="77777777" w:rsidR="009D23B7" w:rsidRDefault="009D23B7" w:rsidP="00033F7E">
      <w:pPr>
        <w:spacing w:after="0" w:line="360" w:lineRule="auto"/>
        <w:jc w:val="both"/>
        <w:rPr>
          <w:rFonts w:ascii="Times New Roman" w:eastAsia="Times New Roman" w:hAnsi="Times New Roman" w:cs="Times New Roman"/>
          <w:sz w:val="24"/>
          <w:szCs w:val="20"/>
        </w:rPr>
      </w:pPr>
    </w:p>
    <w:p w14:paraId="6B780E04" w14:textId="77777777" w:rsidR="009D23B7" w:rsidRDefault="009D23B7" w:rsidP="00033F7E">
      <w:pPr>
        <w:spacing w:after="0" w:line="360" w:lineRule="auto"/>
        <w:jc w:val="both"/>
        <w:rPr>
          <w:rFonts w:ascii="Times New Roman" w:eastAsia="Times New Roman" w:hAnsi="Times New Roman" w:cs="Times New Roman"/>
          <w:sz w:val="24"/>
          <w:szCs w:val="20"/>
        </w:rPr>
      </w:pPr>
    </w:p>
    <w:p w14:paraId="64A8885A" w14:textId="77777777" w:rsidR="009D23B7" w:rsidRDefault="009D23B7" w:rsidP="00033F7E">
      <w:pPr>
        <w:spacing w:after="0" w:line="360" w:lineRule="auto"/>
        <w:jc w:val="both"/>
        <w:rPr>
          <w:rFonts w:ascii="Times New Roman" w:eastAsia="Times New Roman" w:hAnsi="Times New Roman" w:cs="Times New Roman"/>
          <w:sz w:val="24"/>
          <w:szCs w:val="20"/>
        </w:rPr>
      </w:pPr>
    </w:p>
    <w:p w14:paraId="4C16FE13" w14:textId="77777777" w:rsidR="009D23B7" w:rsidRDefault="009D23B7" w:rsidP="00033F7E">
      <w:pPr>
        <w:spacing w:after="0" w:line="360" w:lineRule="auto"/>
        <w:jc w:val="both"/>
        <w:rPr>
          <w:rFonts w:ascii="Times New Roman" w:eastAsia="Times New Roman" w:hAnsi="Times New Roman" w:cs="Times New Roman"/>
          <w:sz w:val="24"/>
          <w:szCs w:val="20"/>
        </w:rPr>
      </w:pPr>
    </w:p>
    <w:p w14:paraId="7F6ED096" w14:textId="77777777" w:rsidR="009D23B7" w:rsidRDefault="009D23B7" w:rsidP="00033F7E">
      <w:pPr>
        <w:spacing w:after="0" w:line="360" w:lineRule="auto"/>
        <w:jc w:val="both"/>
        <w:rPr>
          <w:rFonts w:ascii="Times New Roman" w:eastAsia="Times New Roman" w:hAnsi="Times New Roman" w:cs="Times New Roman"/>
          <w:sz w:val="24"/>
          <w:szCs w:val="20"/>
        </w:rPr>
      </w:pPr>
    </w:p>
    <w:p w14:paraId="64A5D96E" w14:textId="2F5D4BB9" w:rsidR="00033F7E" w:rsidRPr="00AB2C43" w:rsidRDefault="00033F7E" w:rsidP="00033F7E">
      <w:pPr>
        <w:spacing w:after="0" w:line="36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0"/>
        </w:rPr>
        <w:lastRenderedPageBreak/>
        <w:t xml:space="preserve">Date: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2C68F8">
        <w:rPr>
          <w:rFonts w:ascii="Times New Roman" w:eastAsia="Times New Roman" w:hAnsi="Times New Roman" w:cs="Times New Roman"/>
          <w:noProof/>
          <w:sz w:val="24"/>
          <w:szCs w:val="24"/>
        </w:rPr>
        <w:t>May 14, 2021</w:t>
      </w:r>
      <w:r w:rsidRPr="00AB2C43">
        <w:rPr>
          <w:rFonts w:ascii="Times New Roman" w:eastAsia="Times New Roman" w:hAnsi="Times New Roman" w:cs="Times New Roman"/>
          <w:sz w:val="24"/>
          <w:szCs w:val="24"/>
        </w:rPr>
        <w:fldChar w:fldCharType="end"/>
      </w:r>
    </w:p>
    <w:p w14:paraId="49934998" w14:textId="77777777" w:rsidR="00033F7E" w:rsidRPr="00AB2C43" w:rsidRDefault="00033F7E" w:rsidP="00033F7E">
      <w:pPr>
        <w:spacing w:after="0" w:line="360" w:lineRule="auto"/>
        <w:jc w:val="both"/>
        <w:rPr>
          <w:rFonts w:ascii="Times New Roman" w:eastAsia="Times New Roman" w:hAnsi="Times New Roman" w:cs="Times New Roman"/>
          <w:sz w:val="24"/>
          <w:szCs w:val="24"/>
        </w:rPr>
      </w:pPr>
    </w:p>
    <w:p w14:paraId="327B36FE" w14:textId="77777777" w:rsidR="00033F7E" w:rsidRPr="00AB2C43" w:rsidRDefault="00033F7E" w:rsidP="00033F7E">
      <w:pPr>
        <w:spacing w:after="0" w:line="240" w:lineRule="auto"/>
        <w:ind w:left="4320"/>
        <w:contextualSpacing/>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PUBLIC UTILITY COMMISSION OF TEXAS LEGAL DIVISION</w:t>
      </w:r>
    </w:p>
    <w:p w14:paraId="3BF981E5" w14:textId="77777777" w:rsidR="00033F7E" w:rsidRPr="00AB2C43" w:rsidRDefault="00033F7E" w:rsidP="00033F7E">
      <w:pPr>
        <w:spacing w:after="0" w:line="240" w:lineRule="auto"/>
        <w:ind w:left="3600"/>
        <w:jc w:val="both"/>
        <w:rPr>
          <w:rFonts w:ascii="Times New Roman" w:eastAsia="Times New Roman" w:hAnsi="Times New Roman" w:cs="Times New Roman"/>
          <w:sz w:val="24"/>
          <w:szCs w:val="20"/>
        </w:rPr>
      </w:pPr>
    </w:p>
    <w:p w14:paraId="6DF8FCF0" w14:textId="77777777" w:rsidR="00033F7E" w:rsidRPr="00AB2C43" w:rsidRDefault="00033F7E" w:rsidP="00033F7E">
      <w:pPr>
        <w:keepNext/>
        <w:spacing w:after="0" w:line="240" w:lineRule="auto"/>
        <w:ind w:left="4320"/>
        <w:jc w:val="both"/>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Rachelle Nicolette Robles</w:t>
      </w:r>
    </w:p>
    <w:p w14:paraId="040C7FB9" w14:textId="77777777" w:rsidR="00033F7E" w:rsidRPr="00AB2C43" w:rsidRDefault="00033F7E" w:rsidP="00033F7E">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 xml:space="preserve">Division Director </w:t>
      </w:r>
    </w:p>
    <w:p w14:paraId="6E8C8B7C" w14:textId="77777777" w:rsidR="00033F7E" w:rsidRPr="00AB2C43" w:rsidRDefault="00033F7E" w:rsidP="00033F7E">
      <w:pPr>
        <w:spacing w:after="0" w:line="240" w:lineRule="auto"/>
        <w:jc w:val="both"/>
        <w:rPr>
          <w:rFonts w:ascii="Times New Roman" w:eastAsia="Times New Roman" w:hAnsi="Times New Roman" w:cs="Times New Roman"/>
          <w:sz w:val="24"/>
          <w:szCs w:val="24"/>
        </w:rPr>
      </w:pPr>
    </w:p>
    <w:p w14:paraId="20D0057E" w14:textId="77777777" w:rsidR="00033F7E" w:rsidRPr="00AB2C43" w:rsidRDefault="00033F7E" w:rsidP="00033F7E">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Eleanor D’Ambrosio</w:t>
      </w:r>
    </w:p>
    <w:p w14:paraId="676F668C" w14:textId="77777777" w:rsidR="00033F7E" w:rsidRPr="00AB2C43" w:rsidRDefault="00033F7E" w:rsidP="00033F7E">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Managing Attorney</w:t>
      </w:r>
    </w:p>
    <w:p w14:paraId="37BDF668" w14:textId="77777777" w:rsidR="00033F7E" w:rsidRPr="00AB2C43" w:rsidRDefault="00033F7E" w:rsidP="00033F7E">
      <w:pPr>
        <w:spacing w:after="0" w:line="240" w:lineRule="auto"/>
        <w:jc w:val="both"/>
        <w:rPr>
          <w:rFonts w:ascii="Times New Roman" w:eastAsia="Times New Roman" w:hAnsi="Times New Roman" w:cs="Times New Roman"/>
          <w:sz w:val="24"/>
          <w:szCs w:val="24"/>
        </w:rPr>
      </w:pPr>
    </w:p>
    <w:p w14:paraId="0DA2BCB1" w14:textId="77777777" w:rsidR="00033F7E" w:rsidRPr="00AB2C43" w:rsidRDefault="00033F7E" w:rsidP="00033F7E">
      <w:pPr>
        <w:spacing w:after="0" w:line="240" w:lineRule="auto"/>
        <w:jc w:val="both"/>
        <w:rPr>
          <w:rFonts w:ascii="Times New Roman" w:eastAsia="Times New Roman" w:hAnsi="Times New Roman" w:cs="Times New Roman"/>
          <w:sz w:val="24"/>
          <w:szCs w:val="24"/>
        </w:rPr>
      </w:pPr>
    </w:p>
    <w:p w14:paraId="372D7BA9" w14:textId="5220BBCB" w:rsidR="00033F7E" w:rsidRPr="00AB2C43" w:rsidRDefault="00033F7E" w:rsidP="00033F7E">
      <w:pPr>
        <w:spacing w:after="0" w:line="240" w:lineRule="auto"/>
        <w:jc w:val="both"/>
        <w:rPr>
          <w:rFonts w:ascii="Times New Roman" w:eastAsia="Times New Roman" w:hAnsi="Times New Roman" w:cs="Times New Roman"/>
          <w:sz w:val="24"/>
          <w:szCs w:val="24"/>
          <w:u w:val="single"/>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00887A8D">
        <w:rPr>
          <w:rFonts w:ascii="Times New Roman" w:eastAsia="Times New Roman" w:hAnsi="Times New Roman" w:cs="Times New Roman"/>
          <w:sz w:val="24"/>
          <w:szCs w:val="24"/>
          <w:u w:val="single"/>
        </w:rPr>
        <w:t>/s/ Robert Dakota Parish__</w:t>
      </w:r>
    </w:p>
    <w:p w14:paraId="66EDE66C" w14:textId="77777777" w:rsidR="00033F7E" w:rsidRPr="00AB2C43" w:rsidRDefault="00033F7E" w:rsidP="00033F7E">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bookmarkStart w:id="2" w:name="_Hlk31183861"/>
      <w:r w:rsidRPr="00AB2C43">
        <w:rPr>
          <w:rFonts w:ascii="Times New Roman" w:eastAsia="Times New Roman" w:hAnsi="Times New Roman" w:cs="Times New Roman"/>
          <w:sz w:val="24"/>
          <w:szCs w:val="24"/>
        </w:rPr>
        <w:t>Robert Dakota Parish</w:t>
      </w:r>
      <w:bookmarkEnd w:id="2"/>
    </w:p>
    <w:p w14:paraId="4FADA9E1" w14:textId="77777777" w:rsidR="00033F7E" w:rsidRPr="00AB2C43" w:rsidRDefault="00033F7E" w:rsidP="00033F7E">
      <w:pPr>
        <w:spacing w:after="0" w:line="240" w:lineRule="auto"/>
        <w:ind w:left="3600"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State Bar No. 24116875</w:t>
      </w:r>
    </w:p>
    <w:p w14:paraId="545B051D" w14:textId="77777777" w:rsidR="00033F7E" w:rsidRPr="00AB2C43" w:rsidRDefault="00033F7E" w:rsidP="00033F7E">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1701 N. Congress Avenue</w:t>
      </w:r>
    </w:p>
    <w:p w14:paraId="42E00459" w14:textId="77777777" w:rsidR="00033F7E" w:rsidRPr="00AB2C43" w:rsidRDefault="00033F7E" w:rsidP="00033F7E">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P.O. Box 13480</w:t>
      </w:r>
    </w:p>
    <w:p w14:paraId="2713A9DE" w14:textId="77777777" w:rsidR="00033F7E" w:rsidRPr="00AB2C43" w:rsidRDefault="00033F7E" w:rsidP="00033F7E">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Austin, Texas 78711-3480</w:t>
      </w:r>
    </w:p>
    <w:p w14:paraId="386873D4" w14:textId="77777777" w:rsidR="00033F7E" w:rsidRPr="00AB2C43" w:rsidRDefault="00033F7E" w:rsidP="00033F7E">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936-7442</w:t>
      </w:r>
    </w:p>
    <w:p w14:paraId="1A305F1D" w14:textId="77777777" w:rsidR="00033F7E" w:rsidRPr="00AB2C43" w:rsidRDefault="00033F7E" w:rsidP="00033F7E">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936-7268 (facsimile)</w:t>
      </w:r>
    </w:p>
    <w:p w14:paraId="4CBD9FDF" w14:textId="77777777" w:rsidR="00033F7E" w:rsidRPr="001A14AB" w:rsidRDefault="00033F7E" w:rsidP="00033F7E">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Robert.Parish@puc.texas.gov</w:t>
      </w:r>
    </w:p>
    <w:p w14:paraId="486D63C6" w14:textId="77777777" w:rsidR="009D23B7" w:rsidRDefault="009D23B7" w:rsidP="00033F7E">
      <w:pPr>
        <w:spacing w:after="0" w:line="240" w:lineRule="auto"/>
        <w:jc w:val="center"/>
        <w:rPr>
          <w:rFonts w:ascii="Times New Roman" w:eastAsia="Times New Roman" w:hAnsi="Times New Roman" w:cs="Times New Roman"/>
          <w:b/>
          <w:caps/>
          <w:sz w:val="24"/>
          <w:szCs w:val="24"/>
        </w:rPr>
      </w:pPr>
    </w:p>
    <w:p w14:paraId="461DC5B2" w14:textId="77777777" w:rsidR="009D23B7" w:rsidRDefault="009D23B7" w:rsidP="00033F7E">
      <w:pPr>
        <w:spacing w:after="0" w:line="240" w:lineRule="auto"/>
        <w:jc w:val="center"/>
        <w:rPr>
          <w:rFonts w:ascii="Times New Roman" w:eastAsia="Times New Roman" w:hAnsi="Times New Roman" w:cs="Times New Roman"/>
          <w:b/>
          <w:caps/>
          <w:sz w:val="24"/>
          <w:szCs w:val="24"/>
        </w:rPr>
      </w:pPr>
    </w:p>
    <w:p w14:paraId="595B9F98" w14:textId="77777777" w:rsidR="009D23B7" w:rsidRDefault="009D23B7" w:rsidP="00033F7E">
      <w:pPr>
        <w:spacing w:after="0" w:line="240" w:lineRule="auto"/>
        <w:jc w:val="center"/>
        <w:rPr>
          <w:rFonts w:ascii="Times New Roman" w:eastAsia="Times New Roman" w:hAnsi="Times New Roman" w:cs="Times New Roman"/>
          <w:b/>
          <w:caps/>
          <w:sz w:val="24"/>
          <w:szCs w:val="24"/>
        </w:rPr>
      </w:pPr>
    </w:p>
    <w:p w14:paraId="6E90E8A3" w14:textId="2B067298" w:rsidR="00033F7E" w:rsidRDefault="00033F7E" w:rsidP="00033F7E">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AB2C43">
        <w:rPr>
          <w:rFonts w:ascii="Times New Roman" w:eastAsia="Times New Roman" w:hAnsi="Times New Roman" w:cs="Times New Roman"/>
          <w:b/>
          <w:caps/>
          <w:sz w:val="24"/>
          <w:szCs w:val="24"/>
        </w:rPr>
        <w:t>DOCKET No. 50197</w:t>
      </w:r>
    </w:p>
    <w:p w14:paraId="48399C3E" w14:textId="77777777" w:rsidR="00033F7E" w:rsidRDefault="00033F7E" w:rsidP="00033F7E">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473-21-2237.WS</w:t>
      </w:r>
    </w:p>
    <w:p w14:paraId="08DD8F2D" w14:textId="77777777" w:rsidR="00033F7E" w:rsidRPr="00AB2C43" w:rsidRDefault="00033F7E" w:rsidP="00033F7E">
      <w:pPr>
        <w:keepNext/>
        <w:spacing w:after="0" w:line="240" w:lineRule="auto"/>
        <w:jc w:val="center"/>
        <w:rPr>
          <w:rFonts w:ascii="Times New Roman" w:eastAsia="Times New Roman" w:hAnsi="Times New Roman" w:cs="Times New Roman"/>
          <w:b/>
          <w:sz w:val="24"/>
          <w:szCs w:val="24"/>
        </w:rPr>
      </w:pPr>
    </w:p>
    <w:p w14:paraId="36CA5CBB" w14:textId="77777777" w:rsidR="00033F7E" w:rsidRPr="00AB2C43" w:rsidRDefault="00033F7E" w:rsidP="00033F7E">
      <w:pPr>
        <w:keepNext/>
        <w:spacing w:after="0" w:line="240" w:lineRule="auto"/>
        <w:jc w:val="center"/>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CERTIFICATE OF SERVICE</w:t>
      </w:r>
    </w:p>
    <w:p w14:paraId="0C54524B" w14:textId="77777777" w:rsidR="00033F7E" w:rsidRPr="00AB2C43" w:rsidRDefault="00033F7E" w:rsidP="00033F7E">
      <w:pPr>
        <w:keepNext/>
        <w:spacing w:after="0" w:line="240" w:lineRule="auto"/>
        <w:jc w:val="center"/>
        <w:rPr>
          <w:rFonts w:ascii="Times New Roman" w:eastAsia="Times New Roman" w:hAnsi="Times New Roman" w:cs="Times New Roman"/>
          <w:b/>
          <w:sz w:val="24"/>
          <w:szCs w:val="24"/>
        </w:rPr>
      </w:pPr>
    </w:p>
    <w:p w14:paraId="19E5D15A" w14:textId="7735E9EC" w:rsidR="00033F7E" w:rsidRPr="00AB2C43" w:rsidRDefault="00033F7E" w:rsidP="00033F7E">
      <w:pPr>
        <w:spacing w:after="0" w:line="360" w:lineRule="auto"/>
        <w:ind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color w:val="0D0D0D"/>
          <w:sz w:val="24"/>
          <w:szCs w:val="20"/>
        </w:rPr>
        <w:t xml:space="preserve">I certify that, unless otherwise ordered by the presiding officer, notice of the filing of this document was provided to all parties of record via electronic mail on </w:t>
      </w:r>
      <w:r w:rsidRPr="00AB2C43">
        <w:rPr>
          <w:rFonts w:ascii="Times New Roman" w:eastAsia="Times New Roman" w:hAnsi="Times New Roman" w:cs="Times New Roman"/>
          <w:sz w:val="24"/>
          <w:szCs w:val="20"/>
        </w:rPr>
        <w:t xml:space="preserv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2C68F8">
        <w:rPr>
          <w:rFonts w:ascii="Times New Roman" w:eastAsia="Times New Roman" w:hAnsi="Times New Roman" w:cs="Times New Roman"/>
          <w:noProof/>
          <w:sz w:val="24"/>
          <w:szCs w:val="24"/>
        </w:rPr>
        <w:t>May 14, 2021</w:t>
      </w:r>
      <w:r w:rsidRPr="00AB2C43">
        <w:rPr>
          <w:rFonts w:ascii="Times New Roman" w:eastAsia="Times New Roman" w:hAnsi="Times New Roman" w:cs="Times New Roman"/>
          <w:sz w:val="24"/>
          <w:szCs w:val="24"/>
        </w:rPr>
        <w:fldChar w:fldCharType="end"/>
      </w:r>
      <w:r w:rsidRPr="00AB2C43">
        <w:rPr>
          <w:rFonts w:ascii="Times New Roman" w:eastAsia="Times New Roman" w:hAnsi="Times New Roman" w:cs="Times New Roman"/>
          <w:color w:val="0D0D0D"/>
          <w:sz w:val="24"/>
          <w:szCs w:val="20"/>
        </w:rPr>
        <w:t>, in accordance with the Order Suspending Rules, issued in Project No. 50664.</w:t>
      </w:r>
    </w:p>
    <w:p w14:paraId="209D35D3" w14:textId="77777777" w:rsidR="00033F7E" w:rsidRPr="00AB2C43" w:rsidRDefault="00033F7E" w:rsidP="00033F7E">
      <w:pPr>
        <w:keepNext/>
        <w:spacing w:after="0" w:line="240" w:lineRule="auto"/>
        <w:ind w:left="3600" w:firstLine="720"/>
        <w:jc w:val="both"/>
        <w:rPr>
          <w:rFonts w:ascii="Times New Roman" w:eastAsia="Times New Roman" w:hAnsi="Times New Roman" w:cs="Times New Roman"/>
          <w:sz w:val="24"/>
          <w:szCs w:val="24"/>
        </w:rPr>
      </w:pPr>
    </w:p>
    <w:p w14:paraId="4A26A81C" w14:textId="77777777" w:rsidR="00033F7E" w:rsidRPr="00AB2C43" w:rsidRDefault="00033F7E" w:rsidP="00033F7E">
      <w:pPr>
        <w:keepNext/>
        <w:spacing w:after="0" w:line="240" w:lineRule="auto"/>
        <w:ind w:left="3600" w:firstLine="720"/>
        <w:jc w:val="both"/>
        <w:rPr>
          <w:rFonts w:ascii="Times New Roman" w:eastAsia="Times New Roman" w:hAnsi="Times New Roman" w:cs="Times New Roman"/>
          <w:sz w:val="24"/>
          <w:szCs w:val="24"/>
        </w:rPr>
      </w:pPr>
    </w:p>
    <w:p w14:paraId="480C0673" w14:textId="5EAF31AF" w:rsidR="00033F7E" w:rsidRPr="00AB2C43" w:rsidRDefault="00887A8D" w:rsidP="00033F7E">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1060402C" w14:textId="77777777" w:rsidR="00033F7E" w:rsidRPr="001A14AB" w:rsidRDefault="00033F7E" w:rsidP="00033F7E">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Robert Dakota Parish</w:t>
      </w:r>
    </w:p>
    <w:p w14:paraId="5DFB9F6C" w14:textId="77777777" w:rsidR="00F17459" w:rsidRDefault="00F17459"/>
    <w:sectPr w:rsidR="00F17459" w:rsidSect="00F50CAC">
      <w:footerReference w:type="even" r:id="rId8"/>
      <w:footerReference w:type="default" r:id="rId9"/>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E2CD3" w14:textId="77777777" w:rsidR="00294FDC" w:rsidRDefault="009D23B7">
      <w:pPr>
        <w:spacing w:after="0" w:line="240" w:lineRule="auto"/>
      </w:pPr>
      <w:r>
        <w:separator/>
      </w:r>
    </w:p>
  </w:endnote>
  <w:endnote w:type="continuationSeparator" w:id="0">
    <w:p w14:paraId="3B81320B" w14:textId="77777777" w:rsidR="00294FDC" w:rsidRDefault="009D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8D24F" w14:textId="77777777" w:rsidR="009C1544" w:rsidRDefault="009D23B7"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F90E8C" w14:textId="77777777" w:rsidR="009C1544" w:rsidRDefault="002C68F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555C5" w14:textId="77777777" w:rsidR="009C1544" w:rsidRPr="004168FA" w:rsidRDefault="009D23B7" w:rsidP="009B61E3">
    <w:pPr>
      <w:pStyle w:val="Footer"/>
      <w:framePr w:wrap="around" w:vAnchor="text" w:hAnchor="page" w:x="1702" w:y="61"/>
      <w:jc w:val="center"/>
      <w:rPr>
        <w:rStyle w:val="PageNumber"/>
        <w:rFonts w:ascii="Times New Roman" w:hAnsi="Times New Roman" w:cs="Times New Roman"/>
        <w:sz w:val="24"/>
        <w:szCs w:val="24"/>
      </w:rPr>
    </w:pPr>
    <w:r w:rsidRPr="004168FA">
      <w:rPr>
        <w:rStyle w:val="PageNumber"/>
        <w:rFonts w:ascii="Times New Roman" w:hAnsi="Times New Roman" w:cs="Times New Roman"/>
        <w:sz w:val="24"/>
        <w:szCs w:val="24"/>
      </w:rPr>
      <w:fldChar w:fldCharType="begin"/>
    </w:r>
    <w:r w:rsidRPr="004168FA">
      <w:rPr>
        <w:rStyle w:val="PageNumber"/>
        <w:rFonts w:ascii="Times New Roman" w:hAnsi="Times New Roman" w:cs="Times New Roman"/>
        <w:sz w:val="24"/>
        <w:szCs w:val="24"/>
      </w:rPr>
      <w:instrText xml:space="preserve">PAGE  </w:instrText>
    </w:r>
    <w:r w:rsidRPr="004168FA">
      <w:rPr>
        <w:rStyle w:val="PageNumber"/>
        <w:rFonts w:ascii="Times New Roman" w:hAnsi="Times New Roman" w:cs="Times New Roman"/>
        <w:sz w:val="24"/>
        <w:szCs w:val="24"/>
      </w:rPr>
      <w:fldChar w:fldCharType="separate"/>
    </w:r>
    <w:r w:rsidRPr="004168FA">
      <w:rPr>
        <w:rStyle w:val="PageNumber"/>
        <w:rFonts w:ascii="Times New Roman" w:hAnsi="Times New Roman" w:cs="Times New Roman"/>
        <w:noProof/>
        <w:sz w:val="24"/>
        <w:szCs w:val="24"/>
      </w:rPr>
      <w:t>2</w:t>
    </w:r>
    <w:r w:rsidRPr="004168FA">
      <w:rPr>
        <w:rStyle w:val="PageNumber"/>
        <w:rFonts w:ascii="Times New Roman" w:hAnsi="Times New Roman" w:cs="Times New Roman"/>
        <w:sz w:val="24"/>
        <w:szCs w:val="24"/>
      </w:rPr>
      <w:fldChar w:fldCharType="end"/>
    </w:r>
  </w:p>
  <w:p w14:paraId="6BA86A5D" w14:textId="77777777" w:rsidR="009C1544" w:rsidRDefault="002C68F8" w:rsidP="009B61E3">
    <w:pPr>
      <w:pStyle w:val="Footer"/>
      <w:framePr w:wrap="around" w:vAnchor="text" w:hAnchor="page" w:x="1702" w:y="61"/>
      <w:rPr>
        <w:rStyle w:val="PageNumber"/>
      </w:rPr>
    </w:pPr>
  </w:p>
  <w:p w14:paraId="37055F1B" w14:textId="77777777" w:rsidR="009C1544" w:rsidRDefault="002C68F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5F545" w14:textId="77777777" w:rsidR="00294FDC" w:rsidRDefault="009D23B7">
      <w:pPr>
        <w:spacing w:after="0" w:line="240" w:lineRule="auto"/>
      </w:pPr>
      <w:r>
        <w:separator/>
      </w:r>
    </w:p>
  </w:footnote>
  <w:footnote w:type="continuationSeparator" w:id="0">
    <w:p w14:paraId="7E3153EE" w14:textId="77777777" w:rsidR="00294FDC" w:rsidRDefault="009D2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67C25"/>
    <w:multiLevelType w:val="multilevel"/>
    <w:tmpl w:val="C8BA3614"/>
    <w:lvl w:ilvl="0">
      <w:start w:val="1"/>
      <w:numFmt w:val="decimal"/>
      <w:pStyle w:val="IssueList"/>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F183BB8"/>
    <w:multiLevelType w:val="hybridMultilevel"/>
    <w:tmpl w:val="22102B98"/>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66A09BE"/>
    <w:multiLevelType w:val="hybridMultilevel"/>
    <w:tmpl w:val="13668E32"/>
    <w:lvl w:ilvl="0" w:tplc="BE46F4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F278D2"/>
    <w:multiLevelType w:val="hybridMultilevel"/>
    <w:tmpl w:val="FDCC389C"/>
    <w:lvl w:ilvl="0" w:tplc="378688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CBE"/>
    <w:rsid w:val="00001A5B"/>
    <w:rsid w:val="00022CBE"/>
    <w:rsid w:val="00033F7E"/>
    <w:rsid w:val="000600F6"/>
    <w:rsid w:val="00067ED3"/>
    <w:rsid w:val="000D1115"/>
    <w:rsid w:val="000E4B30"/>
    <w:rsid w:val="001677DE"/>
    <w:rsid w:val="00174B6D"/>
    <w:rsid w:val="0020653B"/>
    <w:rsid w:val="0021092D"/>
    <w:rsid w:val="00212887"/>
    <w:rsid w:val="00294FDC"/>
    <w:rsid w:val="002B7EB2"/>
    <w:rsid w:val="002C68F8"/>
    <w:rsid w:val="00335CDE"/>
    <w:rsid w:val="00341EBB"/>
    <w:rsid w:val="003E3A30"/>
    <w:rsid w:val="003F508A"/>
    <w:rsid w:val="00454E18"/>
    <w:rsid w:val="004E0304"/>
    <w:rsid w:val="00517784"/>
    <w:rsid w:val="005D44CE"/>
    <w:rsid w:val="006033D2"/>
    <w:rsid w:val="00643B5F"/>
    <w:rsid w:val="00671E8D"/>
    <w:rsid w:val="00674E0E"/>
    <w:rsid w:val="006C2A0B"/>
    <w:rsid w:val="007D68A3"/>
    <w:rsid w:val="007E3A96"/>
    <w:rsid w:val="008549F3"/>
    <w:rsid w:val="00887A8D"/>
    <w:rsid w:val="008A02D3"/>
    <w:rsid w:val="008D1B7F"/>
    <w:rsid w:val="009603B2"/>
    <w:rsid w:val="009623CB"/>
    <w:rsid w:val="009D23B7"/>
    <w:rsid w:val="009F0EE9"/>
    <w:rsid w:val="00AB576A"/>
    <w:rsid w:val="00B03BFA"/>
    <w:rsid w:val="00B71959"/>
    <w:rsid w:val="00BD311E"/>
    <w:rsid w:val="00BE1C4E"/>
    <w:rsid w:val="00BE2AAF"/>
    <w:rsid w:val="00C615C6"/>
    <w:rsid w:val="00CD0EB5"/>
    <w:rsid w:val="00D1427D"/>
    <w:rsid w:val="00D67A6E"/>
    <w:rsid w:val="00DA5CF6"/>
    <w:rsid w:val="00DB2D08"/>
    <w:rsid w:val="00E92FAB"/>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34C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C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2C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2CBE"/>
  </w:style>
  <w:style w:type="character" w:styleId="PageNumber">
    <w:name w:val="page number"/>
    <w:basedOn w:val="DefaultParagraphFont"/>
    <w:rsid w:val="00022CBE"/>
  </w:style>
  <w:style w:type="paragraph" w:styleId="ListParagraph">
    <w:name w:val="List Paragraph"/>
    <w:basedOn w:val="Normal"/>
    <w:uiPriority w:val="34"/>
    <w:qFormat/>
    <w:rsid w:val="00335CDE"/>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customStyle="1" w:styleId="IssueList">
    <w:name w:val="Issue List"/>
    <w:basedOn w:val="Normal"/>
    <w:qFormat/>
    <w:rsid w:val="00335CDE"/>
    <w:pPr>
      <w:numPr>
        <w:numId w:val="4"/>
      </w:numPr>
      <w:spacing w:before="120" w:after="0" w:line="360" w:lineRule="auto"/>
      <w:jc w:val="both"/>
    </w:pPr>
    <w:rPr>
      <w:rFonts w:ascii="Times New Roman" w:eastAsia="Times New Roman" w:hAnsi="Times New Roman" w:cs="Times New Roman"/>
      <w:snapToGrid w:val="0"/>
      <w:sz w:val="24"/>
      <w:szCs w:val="20"/>
    </w:rPr>
  </w:style>
  <w:style w:type="paragraph" w:customStyle="1" w:styleId="Issuesublist">
    <w:name w:val="Issue sub list"/>
    <w:basedOn w:val="Normal"/>
    <w:qFormat/>
    <w:rsid w:val="00335CDE"/>
    <w:pPr>
      <w:numPr>
        <w:ilvl w:val="1"/>
        <w:numId w:val="4"/>
      </w:numPr>
      <w:spacing w:after="120" w:line="360" w:lineRule="auto"/>
      <w:jc w:val="both"/>
    </w:pPr>
    <w:rPr>
      <w:rFonts w:ascii="Times New Roman" w:eastAsia="Times New Roman" w:hAnsi="Times New Roman" w:cs="Times New Roman"/>
      <w:sz w:val="24"/>
      <w:szCs w:val="20"/>
    </w:rPr>
  </w:style>
  <w:style w:type="paragraph" w:customStyle="1" w:styleId="Issuesub2list">
    <w:name w:val="Issue sub2 list"/>
    <w:basedOn w:val="Normal"/>
    <w:qFormat/>
    <w:rsid w:val="00335CDE"/>
    <w:pPr>
      <w:numPr>
        <w:ilvl w:val="2"/>
        <w:numId w:val="4"/>
      </w:numPr>
      <w:spacing w:after="120" w:line="360" w:lineRule="auto"/>
      <w:jc w:val="both"/>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D23B7"/>
    <w:rPr>
      <w:sz w:val="16"/>
      <w:szCs w:val="16"/>
    </w:rPr>
  </w:style>
  <w:style w:type="paragraph" w:styleId="CommentText">
    <w:name w:val="annotation text"/>
    <w:basedOn w:val="Normal"/>
    <w:link w:val="CommentTextChar"/>
    <w:uiPriority w:val="99"/>
    <w:semiHidden/>
    <w:unhideWhenUsed/>
    <w:rsid w:val="009D23B7"/>
    <w:pPr>
      <w:spacing w:line="240" w:lineRule="auto"/>
    </w:pPr>
    <w:rPr>
      <w:sz w:val="20"/>
      <w:szCs w:val="20"/>
    </w:rPr>
  </w:style>
  <w:style w:type="character" w:customStyle="1" w:styleId="CommentTextChar">
    <w:name w:val="Comment Text Char"/>
    <w:basedOn w:val="DefaultParagraphFont"/>
    <w:link w:val="CommentText"/>
    <w:uiPriority w:val="99"/>
    <w:semiHidden/>
    <w:rsid w:val="009D23B7"/>
    <w:rPr>
      <w:sz w:val="20"/>
      <w:szCs w:val="20"/>
    </w:rPr>
  </w:style>
  <w:style w:type="paragraph" w:styleId="CommentSubject">
    <w:name w:val="annotation subject"/>
    <w:basedOn w:val="CommentText"/>
    <w:next w:val="CommentText"/>
    <w:link w:val="CommentSubjectChar"/>
    <w:uiPriority w:val="99"/>
    <w:semiHidden/>
    <w:unhideWhenUsed/>
    <w:rsid w:val="009D23B7"/>
    <w:rPr>
      <w:b/>
      <w:bCs/>
    </w:rPr>
  </w:style>
  <w:style w:type="character" w:customStyle="1" w:styleId="CommentSubjectChar">
    <w:name w:val="Comment Subject Char"/>
    <w:basedOn w:val="CommentTextChar"/>
    <w:link w:val="CommentSubject"/>
    <w:uiPriority w:val="99"/>
    <w:semiHidden/>
    <w:rsid w:val="009D23B7"/>
    <w:rPr>
      <w:b/>
      <w:bCs/>
      <w:sz w:val="20"/>
      <w:szCs w:val="20"/>
    </w:rPr>
  </w:style>
  <w:style w:type="paragraph" w:styleId="BalloonText">
    <w:name w:val="Balloon Text"/>
    <w:basedOn w:val="Normal"/>
    <w:link w:val="BalloonTextChar"/>
    <w:uiPriority w:val="99"/>
    <w:semiHidden/>
    <w:unhideWhenUsed/>
    <w:rsid w:val="009D23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3B7"/>
    <w:rPr>
      <w:rFonts w:ascii="Segoe UI" w:hAnsi="Segoe UI" w:cs="Segoe UI"/>
      <w:sz w:val="18"/>
      <w:szCs w:val="18"/>
    </w:rPr>
  </w:style>
  <w:style w:type="paragraph" w:styleId="Header">
    <w:name w:val="header"/>
    <w:basedOn w:val="Normal"/>
    <w:link w:val="HeaderChar"/>
    <w:uiPriority w:val="99"/>
    <w:unhideWhenUsed/>
    <w:rsid w:val="002109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CB6A2-59C8-4FC6-AF09-575A32CA3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822</Words>
  <Characters>4690</Characters>
  <Application>Microsoft Office Word</Application>
  <DocSecurity>0</DocSecurity>
  <Lines>39</Lines>
  <Paragraphs>11</Paragraphs>
  <ScaleCrop>false</ScaleCrop>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2021-05-12T13:06:00Z</dcterms:created>
  <dcterms:modified xsi:type="dcterms:W3CDTF">2021-05-14T13:53:00Z</dcterms:modified>
</cp:coreProperties>
</file>